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EB" w:rsidRDefault="004B64EB" w:rsidP="004B64EB">
      <w:pPr>
        <w:rPr>
          <w:b/>
        </w:rPr>
      </w:pPr>
      <w:bookmarkStart w:id="0" w:name="_GoBack"/>
      <w:bookmarkEnd w:id="0"/>
    </w:p>
    <w:p w:rsidR="0071514F" w:rsidRPr="004B64EB" w:rsidRDefault="0071514F" w:rsidP="004B64EB">
      <w:pPr>
        <w:spacing w:after="160" w:line="259" w:lineRule="auto"/>
        <w:jc w:val="center"/>
      </w:pPr>
      <w:r>
        <w:rPr>
          <w:b/>
        </w:rPr>
        <w:t>EXHIBIT A</w:t>
      </w:r>
    </w:p>
    <w:p w:rsidR="0071514F" w:rsidRDefault="0071514F" w:rsidP="0071514F">
      <w:pPr>
        <w:jc w:val="center"/>
        <w:rPr>
          <w:rFonts w:ascii="Georgia" w:hAnsi="Georgia"/>
          <w:b/>
          <w:color w:val="2F5496" w:themeColor="accent5" w:themeShade="BF"/>
          <w:sz w:val="26"/>
          <w:szCs w:val="26"/>
        </w:rPr>
      </w:pPr>
      <w:r w:rsidRPr="00563A12">
        <w:rPr>
          <w:rFonts w:ascii="Georgia" w:hAnsi="Georgia"/>
          <w:b/>
          <w:color w:val="2F5496" w:themeColor="accent5" w:themeShade="BF"/>
          <w:sz w:val="26"/>
          <w:szCs w:val="26"/>
        </w:rPr>
        <w:t xml:space="preserve">Joly </w:t>
      </w:r>
      <w:r>
        <w:rPr>
          <w:rFonts w:ascii="Georgia" w:hAnsi="Georgia"/>
          <w:b/>
          <w:color w:val="2F5496" w:themeColor="accent5" w:themeShade="BF"/>
          <w:sz w:val="26"/>
          <w:szCs w:val="26"/>
        </w:rPr>
        <w:t xml:space="preserve">Family </w:t>
      </w:r>
      <w:r w:rsidRPr="00563A12">
        <w:rPr>
          <w:rFonts w:ascii="Georgia" w:hAnsi="Georgia"/>
          <w:b/>
          <w:color w:val="2F5496" w:themeColor="accent5" w:themeShade="BF"/>
          <w:sz w:val="26"/>
          <w:szCs w:val="26"/>
        </w:rPr>
        <w:t xml:space="preserve">Center for International </w:t>
      </w:r>
      <w:proofErr w:type="gramStart"/>
      <w:r w:rsidRPr="00563A12">
        <w:rPr>
          <w:rFonts w:ascii="Georgia" w:hAnsi="Georgia"/>
          <w:b/>
          <w:color w:val="2F5496" w:themeColor="accent5" w:themeShade="BF"/>
          <w:sz w:val="26"/>
          <w:szCs w:val="26"/>
        </w:rPr>
        <w:t xml:space="preserve">Understanding </w:t>
      </w:r>
      <w:r>
        <w:rPr>
          <w:rFonts w:ascii="Georgia" w:hAnsi="Georgia"/>
          <w:b/>
          <w:color w:val="2F5496" w:themeColor="accent5" w:themeShade="BF"/>
          <w:sz w:val="26"/>
          <w:szCs w:val="26"/>
        </w:rPr>
        <w:t>:</w:t>
      </w:r>
      <w:proofErr w:type="gramEnd"/>
      <w:r>
        <w:rPr>
          <w:rFonts w:ascii="Georgia" w:hAnsi="Georgia"/>
          <w:b/>
          <w:color w:val="2F5496" w:themeColor="accent5" w:themeShade="BF"/>
          <w:sz w:val="26"/>
          <w:szCs w:val="26"/>
        </w:rPr>
        <w:t xml:space="preserve"> </w:t>
      </w:r>
    </w:p>
    <w:p w:rsidR="0071514F" w:rsidRDefault="0071514F" w:rsidP="0071514F">
      <w:pPr>
        <w:jc w:val="center"/>
        <w:rPr>
          <w:rFonts w:ascii="Georgia" w:hAnsi="Georgia"/>
          <w:b/>
          <w:color w:val="2F5496" w:themeColor="accent5" w:themeShade="BF"/>
          <w:sz w:val="26"/>
          <w:szCs w:val="26"/>
        </w:rPr>
      </w:pPr>
      <w:r w:rsidRPr="00563A12">
        <w:rPr>
          <w:rFonts w:ascii="Georgia" w:hAnsi="Georgia"/>
          <w:b/>
          <w:color w:val="2F5496" w:themeColor="accent5" w:themeShade="BF"/>
          <w:sz w:val="26"/>
          <w:szCs w:val="26"/>
        </w:rPr>
        <w:t>Room Rental Rates</w:t>
      </w:r>
    </w:p>
    <w:p w:rsidR="0071514F" w:rsidRDefault="0071514F" w:rsidP="0071514F">
      <w:pPr>
        <w:jc w:val="center"/>
        <w:rPr>
          <w:rFonts w:ascii="Georgia" w:hAnsi="Georgia"/>
          <w:b/>
          <w:color w:val="2F5496" w:themeColor="accent5" w:themeShade="BF"/>
          <w:sz w:val="26"/>
          <w:szCs w:val="26"/>
        </w:rPr>
      </w:pPr>
    </w:p>
    <w:tbl>
      <w:tblPr>
        <w:tblStyle w:val="TableGrid"/>
        <w:tblW w:w="0" w:type="auto"/>
        <w:tblLook w:val="04A0" w:firstRow="1" w:lastRow="0" w:firstColumn="1" w:lastColumn="0" w:noHBand="0" w:noVBand="1"/>
      </w:tblPr>
      <w:tblGrid>
        <w:gridCol w:w="2335"/>
        <w:gridCol w:w="1710"/>
        <w:gridCol w:w="1565"/>
        <w:gridCol w:w="1870"/>
        <w:gridCol w:w="1870"/>
      </w:tblGrid>
      <w:tr w:rsidR="0071514F" w:rsidTr="000123E0">
        <w:trPr>
          <w:trHeight w:val="490"/>
        </w:trPr>
        <w:tc>
          <w:tcPr>
            <w:tcW w:w="2335" w:type="dxa"/>
          </w:tcPr>
          <w:p w:rsidR="0071514F" w:rsidRDefault="0071514F" w:rsidP="000123E0">
            <w:pPr>
              <w:jc w:val="center"/>
              <w:rPr>
                <w:rFonts w:ascii="Century Gothic" w:hAnsi="Century Gothic"/>
                <w:color w:val="000000" w:themeColor="text1"/>
                <w:sz w:val="20"/>
                <w:szCs w:val="20"/>
              </w:rPr>
            </w:pPr>
          </w:p>
        </w:tc>
        <w:tc>
          <w:tcPr>
            <w:tcW w:w="171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Capacity</w:t>
            </w:r>
          </w:p>
        </w:tc>
        <w:tc>
          <w:tcPr>
            <w:tcW w:w="1565"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AF member rate per hour</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General public rate per hour</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Non-profit rate per hour</w:t>
            </w:r>
          </w:p>
        </w:tc>
      </w:tr>
      <w:tr w:rsidR="0071514F" w:rsidTr="000123E0">
        <w:trPr>
          <w:trHeight w:val="490"/>
        </w:trPr>
        <w:tc>
          <w:tcPr>
            <w:tcW w:w="2335" w:type="dxa"/>
          </w:tcPr>
          <w:p w:rsidR="0071514F" w:rsidRDefault="0071514F" w:rsidP="000123E0">
            <w:pPr>
              <w:rPr>
                <w:rFonts w:ascii="Century Gothic" w:hAnsi="Century Gothic"/>
                <w:color w:val="000000" w:themeColor="text1"/>
                <w:sz w:val="20"/>
                <w:szCs w:val="20"/>
              </w:rPr>
            </w:pPr>
            <w:r>
              <w:rPr>
                <w:rFonts w:ascii="Century Gothic" w:hAnsi="Century Gothic"/>
                <w:color w:val="000000" w:themeColor="text1"/>
                <w:sz w:val="20"/>
                <w:szCs w:val="20"/>
              </w:rPr>
              <w:t>Small classroom</w:t>
            </w:r>
          </w:p>
        </w:tc>
        <w:tc>
          <w:tcPr>
            <w:tcW w:w="171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6 seated</w:t>
            </w:r>
          </w:p>
        </w:tc>
        <w:tc>
          <w:tcPr>
            <w:tcW w:w="1565"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$30.00</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$40.00</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$35.00</w:t>
            </w:r>
          </w:p>
        </w:tc>
      </w:tr>
      <w:tr w:rsidR="0071514F" w:rsidTr="000123E0">
        <w:trPr>
          <w:trHeight w:val="490"/>
        </w:trPr>
        <w:tc>
          <w:tcPr>
            <w:tcW w:w="2335" w:type="dxa"/>
          </w:tcPr>
          <w:p w:rsidR="0071514F" w:rsidRDefault="0071514F" w:rsidP="000123E0">
            <w:pPr>
              <w:rPr>
                <w:rFonts w:ascii="Century Gothic" w:hAnsi="Century Gothic"/>
                <w:color w:val="000000" w:themeColor="text1"/>
                <w:sz w:val="20"/>
                <w:szCs w:val="20"/>
              </w:rPr>
            </w:pPr>
            <w:r>
              <w:rPr>
                <w:rFonts w:ascii="Century Gothic" w:hAnsi="Century Gothic"/>
                <w:color w:val="000000" w:themeColor="text1"/>
                <w:sz w:val="20"/>
                <w:szCs w:val="20"/>
              </w:rPr>
              <w:t>Large classroom</w:t>
            </w:r>
          </w:p>
        </w:tc>
        <w:tc>
          <w:tcPr>
            <w:tcW w:w="171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12 seated</w:t>
            </w:r>
          </w:p>
        </w:tc>
        <w:tc>
          <w:tcPr>
            <w:tcW w:w="1565"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$40.00</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$50.00</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$45.00</w:t>
            </w:r>
          </w:p>
        </w:tc>
      </w:tr>
      <w:tr w:rsidR="0071514F" w:rsidTr="000123E0">
        <w:trPr>
          <w:trHeight w:val="490"/>
        </w:trPr>
        <w:tc>
          <w:tcPr>
            <w:tcW w:w="2335" w:type="dxa"/>
          </w:tcPr>
          <w:p w:rsidR="0071514F" w:rsidRDefault="0071514F" w:rsidP="000123E0">
            <w:pPr>
              <w:rPr>
                <w:rFonts w:ascii="Century Gothic" w:hAnsi="Century Gothic"/>
                <w:color w:val="000000" w:themeColor="text1"/>
                <w:sz w:val="20"/>
                <w:szCs w:val="20"/>
              </w:rPr>
            </w:pPr>
            <w:r>
              <w:rPr>
                <w:rFonts w:ascii="Century Gothic" w:hAnsi="Century Gothic"/>
                <w:color w:val="000000" w:themeColor="text1"/>
                <w:sz w:val="20"/>
                <w:szCs w:val="20"/>
              </w:rPr>
              <w:t>Children’s classroom</w:t>
            </w:r>
          </w:p>
        </w:tc>
        <w:tc>
          <w:tcPr>
            <w:tcW w:w="171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8 seated</w:t>
            </w:r>
          </w:p>
        </w:tc>
        <w:tc>
          <w:tcPr>
            <w:tcW w:w="1565"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$40.00</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$50.00</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$45.00</w:t>
            </w:r>
          </w:p>
        </w:tc>
      </w:tr>
      <w:tr w:rsidR="0071514F" w:rsidTr="000123E0">
        <w:trPr>
          <w:trHeight w:val="490"/>
        </w:trPr>
        <w:tc>
          <w:tcPr>
            <w:tcW w:w="2335" w:type="dxa"/>
          </w:tcPr>
          <w:p w:rsidR="0071514F" w:rsidRDefault="0071514F" w:rsidP="000123E0">
            <w:pPr>
              <w:rPr>
                <w:rFonts w:ascii="Century Gothic" w:hAnsi="Century Gothic"/>
                <w:color w:val="000000" w:themeColor="text1"/>
                <w:sz w:val="20"/>
                <w:szCs w:val="20"/>
              </w:rPr>
            </w:pPr>
            <w:proofErr w:type="spellStart"/>
            <w:r>
              <w:rPr>
                <w:rFonts w:ascii="Century Gothic" w:hAnsi="Century Gothic"/>
                <w:color w:val="000000" w:themeColor="text1"/>
                <w:sz w:val="20"/>
                <w:szCs w:val="20"/>
              </w:rPr>
              <w:t>Vaaler</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Galerie</w:t>
            </w:r>
            <w:proofErr w:type="spellEnd"/>
          </w:p>
        </w:tc>
        <w:tc>
          <w:tcPr>
            <w:tcW w:w="171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 xml:space="preserve">40 seated, </w:t>
            </w:r>
          </w:p>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65 standing</w:t>
            </w:r>
          </w:p>
        </w:tc>
        <w:tc>
          <w:tcPr>
            <w:tcW w:w="1565"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$60.00</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$85.00</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$70.00</w:t>
            </w:r>
          </w:p>
        </w:tc>
      </w:tr>
      <w:tr w:rsidR="0071514F" w:rsidTr="000123E0">
        <w:trPr>
          <w:trHeight w:val="490"/>
        </w:trPr>
        <w:tc>
          <w:tcPr>
            <w:tcW w:w="2335" w:type="dxa"/>
          </w:tcPr>
          <w:p w:rsidR="0071514F" w:rsidRDefault="0071514F" w:rsidP="000123E0">
            <w:pPr>
              <w:tabs>
                <w:tab w:val="left" w:pos="218"/>
              </w:tabs>
              <w:rPr>
                <w:rFonts w:ascii="Century Gothic" w:hAnsi="Century Gothic"/>
                <w:color w:val="000000" w:themeColor="text1"/>
                <w:sz w:val="20"/>
                <w:szCs w:val="20"/>
              </w:rPr>
            </w:pPr>
            <w:r>
              <w:rPr>
                <w:rFonts w:ascii="Century Gothic" w:hAnsi="Century Gothic"/>
                <w:color w:val="000000" w:themeColor="text1"/>
                <w:sz w:val="20"/>
                <w:szCs w:val="20"/>
              </w:rPr>
              <w:t>Bacig Lounge</w:t>
            </w:r>
          </w:p>
        </w:tc>
        <w:tc>
          <w:tcPr>
            <w:tcW w:w="171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20 standing</w:t>
            </w:r>
          </w:p>
        </w:tc>
        <w:tc>
          <w:tcPr>
            <w:tcW w:w="1565"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$40.00</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$50.00</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$45.00</w:t>
            </w:r>
          </w:p>
        </w:tc>
      </w:tr>
      <w:tr w:rsidR="0071514F" w:rsidTr="000123E0">
        <w:trPr>
          <w:trHeight w:val="490"/>
        </w:trPr>
        <w:tc>
          <w:tcPr>
            <w:tcW w:w="2335" w:type="dxa"/>
          </w:tcPr>
          <w:p w:rsidR="0071514F" w:rsidRDefault="0071514F" w:rsidP="000123E0">
            <w:pPr>
              <w:tabs>
                <w:tab w:val="left" w:pos="218"/>
              </w:tabs>
              <w:rPr>
                <w:rFonts w:ascii="Century Gothic" w:hAnsi="Century Gothic"/>
                <w:color w:val="000000" w:themeColor="text1"/>
                <w:sz w:val="20"/>
                <w:szCs w:val="20"/>
              </w:rPr>
            </w:pPr>
            <w:r>
              <w:rPr>
                <w:rFonts w:ascii="Century Gothic" w:hAnsi="Century Gothic"/>
                <w:color w:val="000000" w:themeColor="text1"/>
                <w:sz w:val="20"/>
                <w:szCs w:val="20"/>
              </w:rPr>
              <w:t>Teaching Kitchen</w:t>
            </w:r>
          </w:p>
        </w:tc>
        <w:tc>
          <w:tcPr>
            <w:tcW w:w="171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 xml:space="preserve">12 seated, </w:t>
            </w:r>
          </w:p>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20 standing</w:t>
            </w:r>
          </w:p>
        </w:tc>
        <w:tc>
          <w:tcPr>
            <w:tcW w:w="1565"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$60.00</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$85.00</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$70.00</w:t>
            </w:r>
          </w:p>
        </w:tc>
      </w:tr>
      <w:tr w:rsidR="0071514F" w:rsidTr="000123E0">
        <w:trPr>
          <w:trHeight w:val="490"/>
        </w:trPr>
        <w:tc>
          <w:tcPr>
            <w:tcW w:w="2335" w:type="dxa"/>
          </w:tcPr>
          <w:p w:rsidR="0071514F" w:rsidRDefault="0071514F" w:rsidP="000123E0">
            <w:pPr>
              <w:tabs>
                <w:tab w:val="left" w:pos="285"/>
              </w:tabs>
              <w:rPr>
                <w:rFonts w:ascii="Century Gothic" w:hAnsi="Century Gothic"/>
                <w:color w:val="000000" w:themeColor="text1"/>
                <w:sz w:val="20"/>
                <w:szCs w:val="20"/>
              </w:rPr>
            </w:pPr>
            <w:r>
              <w:rPr>
                <w:rFonts w:ascii="Century Gothic" w:hAnsi="Century Gothic"/>
                <w:color w:val="000000" w:themeColor="text1"/>
                <w:sz w:val="20"/>
                <w:szCs w:val="20"/>
              </w:rPr>
              <w:t>Talle Lobby</w:t>
            </w:r>
          </w:p>
        </w:tc>
        <w:tc>
          <w:tcPr>
            <w:tcW w:w="171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60 standing</w:t>
            </w:r>
          </w:p>
        </w:tc>
        <w:tc>
          <w:tcPr>
            <w:tcW w:w="1565"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$60.00</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$75.00</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$65.00</w:t>
            </w:r>
          </w:p>
        </w:tc>
      </w:tr>
      <w:tr w:rsidR="0071514F" w:rsidTr="000123E0">
        <w:trPr>
          <w:trHeight w:val="491"/>
        </w:trPr>
        <w:tc>
          <w:tcPr>
            <w:tcW w:w="2335" w:type="dxa"/>
          </w:tcPr>
          <w:p w:rsidR="0071514F" w:rsidRDefault="0071514F" w:rsidP="000123E0">
            <w:pPr>
              <w:rPr>
                <w:rFonts w:ascii="Century Gothic" w:hAnsi="Century Gothic"/>
                <w:color w:val="000000" w:themeColor="text1"/>
                <w:sz w:val="20"/>
                <w:szCs w:val="20"/>
              </w:rPr>
            </w:pPr>
            <w:r>
              <w:rPr>
                <w:rFonts w:ascii="Century Gothic" w:hAnsi="Century Gothic"/>
                <w:color w:val="000000" w:themeColor="text1"/>
                <w:sz w:val="20"/>
                <w:szCs w:val="20"/>
              </w:rPr>
              <w:t>La Grande Salle</w:t>
            </w:r>
          </w:p>
        </w:tc>
        <w:tc>
          <w:tcPr>
            <w:tcW w:w="171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100 auditorium, 60 banquet</w:t>
            </w:r>
          </w:p>
        </w:tc>
        <w:tc>
          <w:tcPr>
            <w:tcW w:w="1565"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$110.00</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$160.00</w:t>
            </w:r>
          </w:p>
        </w:tc>
        <w:tc>
          <w:tcPr>
            <w:tcW w:w="1870" w:type="dxa"/>
          </w:tcPr>
          <w:p w:rsidR="0071514F" w:rsidRDefault="0071514F" w:rsidP="000123E0">
            <w:pPr>
              <w:jc w:val="center"/>
              <w:rPr>
                <w:rFonts w:ascii="Century Gothic" w:hAnsi="Century Gothic"/>
                <w:color w:val="000000" w:themeColor="text1"/>
                <w:sz w:val="20"/>
                <w:szCs w:val="20"/>
              </w:rPr>
            </w:pPr>
            <w:r>
              <w:rPr>
                <w:rFonts w:ascii="Century Gothic" w:hAnsi="Century Gothic"/>
                <w:color w:val="000000" w:themeColor="text1"/>
                <w:sz w:val="20"/>
                <w:szCs w:val="20"/>
              </w:rPr>
              <w:t>$130.00</w:t>
            </w:r>
          </w:p>
        </w:tc>
      </w:tr>
    </w:tbl>
    <w:p w:rsidR="0071514F" w:rsidRPr="00356335" w:rsidRDefault="0071514F" w:rsidP="0071514F">
      <w:pPr>
        <w:rPr>
          <w:rFonts w:ascii="Century Gothic" w:hAnsi="Century Gothic"/>
          <w:color w:val="000000" w:themeColor="text1"/>
          <w:sz w:val="16"/>
          <w:szCs w:val="16"/>
        </w:rPr>
      </w:pPr>
    </w:p>
    <w:p w:rsidR="0071514F" w:rsidRDefault="0071514F" w:rsidP="0071514F">
      <w:pPr>
        <w:rPr>
          <w:rFonts w:ascii="Century Gothic" w:hAnsi="Century Gothic" w:cs="Century Gothic"/>
        </w:rPr>
      </w:pPr>
      <w:r>
        <w:rPr>
          <w:rFonts w:ascii="Century Gothic" w:hAnsi="Century Gothic" w:cs="Century Gothic"/>
        </w:rPr>
        <w:t xml:space="preserve">Rental of Classrooms includes use of tables, chairs, whiteboard/Smart-Board and Wi-Fi access.  Rental of La Grande Salle and La </w:t>
      </w:r>
      <w:proofErr w:type="spellStart"/>
      <w:r>
        <w:rPr>
          <w:rFonts w:ascii="Century Gothic" w:hAnsi="Century Gothic" w:cs="Century Gothic"/>
        </w:rPr>
        <w:t>Galerie</w:t>
      </w:r>
      <w:proofErr w:type="spellEnd"/>
      <w:r>
        <w:rPr>
          <w:rFonts w:ascii="Century Gothic" w:hAnsi="Century Gothic" w:cs="Century Gothic"/>
        </w:rPr>
        <w:t xml:space="preserve"> includes use of tables, chairs, AV system, projector, screen and Wi-Fi access.  Rental of the Teaching Kitchen includes use of tables, chairs, stovetop, oven, dishwasher, plate ware and silverware.</w:t>
      </w:r>
    </w:p>
    <w:p w:rsidR="0071514F" w:rsidRDefault="0071514F" w:rsidP="0071514F">
      <w:pPr>
        <w:rPr>
          <w:rFonts w:ascii="Century Gothic" w:hAnsi="Century Gothic" w:cs="Century Gothic"/>
        </w:rPr>
      </w:pPr>
    </w:p>
    <w:p w:rsidR="0071514F" w:rsidRDefault="0071514F" w:rsidP="0071514F">
      <w:pPr>
        <w:rPr>
          <w:rFonts w:ascii="Century Gothic" w:hAnsi="Century Gothic" w:cs="Century Gothic"/>
        </w:rPr>
      </w:pPr>
      <w:r>
        <w:rPr>
          <w:rFonts w:ascii="Century Gothic" w:hAnsi="Century Gothic" w:cs="Century Gothic"/>
        </w:rPr>
        <w:t xml:space="preserve">Tables available: </w:t>
      </w:r>
    </w:p>
    <w:p w:rsidR="0071514F" w:rsidRDefault="0071514F" w:rsidP="0071514F">
      <w:pPr>
        <w:pStyle w:val="ListParagraph"/>
        <w:numPr>
          <w:ilvl w:val="0"/>
          <w:numId w:val="5"/>
        </w:numPr>
        <w:spacing w:after="0"/>
        <w:rPr>
          <w:rFonts w:ascii="Century Gothic" w:hAnsi="Century Gothic" w:cs="Century Gothic"/>
        </w:rPr>
      </w:pPr>
      <w:r>
        <w:rPr>
          <w:rFonts w:ascii="Century Gothic" w:hAnsi="Century Gothic" w:cs="Century Gothic"/>
        </w:rPr>
        <w:t>Ten 60-inch round tables</w:t>
      </w:r>
    </w:p>
    <w:p w:rsidR="0071514F" w:rsidRDefault="0071514F" w:rsidP="0071514F">
      <w:pPr>
        <w:pStyle w:val="ListParagraph"/>
        <w:numPr>
          <w:ilvl w:val="0"/>
          <w:numId w:val="5"/>
        </w:numPr>
        <w:rPr>
          <w:rFonts w:ascii="Century Gothic" w:hAnsi="Century Gothic" w:cs="Century Gothic"/>
        </w:rPr>
      </w:pPr>
      <w:r>
        <w:rPr>
          <w:rFonts w:ascii="Century Gothic" w:hAnsi="Century Gothic" w:cs="Century Gothic"/>
        </w:rPr>
        <w:t xml:space="preserve">Five 30-inch-high top tables </w:t>
      </w:r>
    </w:p>
    <w:p w:rsidR="0071514F" w:rsidRDefault="0071514F" w:rsidP="0071514F">
      <w:pPr>
        <w:pStyle w:val="ListParagraph"/>
        <w:numPr>
          <w:ilvl w:val="0"/>
          <w:numId w:val="5"/>
        </w:numPr>
        <w:rPr>
          <w:rFonts w:ascii="Century Gothic" w:hAnsi="Century Gothic" w:cs="Century Gothic"/>
        </w:rPr>
      </w:pPr>
      <w:r>
        <w:rPr>
          <w:rFonts w:ascii="Century Gothic" w:hAnsi="Century Gothic" w:cs="Century Gothic"/>
        </w:rPr>
        <w:t>Ten rectangular banquet tables</w:t>
      </w:r>
    </w:p>
    <w:p w:rsidR="0071514F" w:rsidRPr="00356335" w:rsidRDefault="0071514F" w:rsidP="0071514F">
      <w:pPr>
        <w:pStyle w:val="ListParagraph"/>
        <w:numPr>
          <w:ilvl w:val="0"/>
          <w:numId w:val="5"/>
        </w:numPr>
        <w:rPr>
          <w:rFonts w:ascii="Century Gothic" w:hAnsi="Century Gothic" w:cs="Century Gothic"/>
        </w:rPr>
      </w:pPr>
      <w:r w:rsidRPr="00356335">
        <w:rPr>
          <w:rFonts w:ascii="Century Gothic" w:hAnsi="Century Gothic" w:cs="Century Gothic"/>
        </w:rPr>
        <w:t xml:space="preserve">Table linens are not provided by AFMSP. </w:t>
      </w:r>
    </w:p>
    <w:p w:rsidR="0071514F" w:rsidRDefault="0071514F" w:rsidP="0071514F">
      <w:pPr>
        <w:rPr>
          <w:rFonts w:ascii="Century Gothic" w:hAnsi="Century Gothic" w:cs="Century Gothic"/>
        </w:rPr>
      </w:pPr>
      <w:r>
        <w:rPr>
          <w:rFonts w:ascii="Century Gothic" w:hAnsi="Century Gothic" w:cs="Century Gothic"/>
        </w:rPr>
        <w:t>Certificate of Insurance listing AFMSP Real Estate Holdings LLC as additional insured may be required. Payment of 50% of rental fee is required to confirm a room rental. An additional cleaning fee may be assessed if the space is not left in order, at discretion of Licensor.</w:t>
      </w:r>
    </w:p>
    <w:p w:rsidR="0071514F" w:rsidRDefault="0071514F" w:rsidP="0071514F">
      <w:pPr>
        <w:rPr>
          <w:rFonts w:ascii="Century Gothic" w:hAnsi="Century Gothic" w:cs="Century Gothic"/>
        </w:rPr>
      </w:pPr>
    </w:p>
    <w:p w:rsidR="0071514F" w:rsidRDefault="0071514F" w:rsidP="0071514F">
      <w:pPr>
        <w:rPr>
          <w:rFonts w:ascii="Century Gothic" w:hAnsi="Century Gothic" w:cs="Century Gothic"/>
        </w:rPr>
      </w:pPr>
      <w:r>
        <w:rPr>
          <w:rFonts w:ascii="Century Gothic" w:hAnsi="Century Gothic" w:cs="Century Gothic"/>
        </w:rPr>
        <w:t xml:space="preserve">Events that take place outside of regular AFMSP hours of operation require an AFMSP staff member to be on-site during the entirety of the event, including tear-down.  The hourly rate for an AFMSP staff member at your event is $25 per hour. Services of AFMSP staff, such as hosting, serving, cleaning or otherwise working at the event, are not included in rental. </w:t>
      </w:r>
    </w:p>
    <w:p w:rsidR="0071514F" w:rsidRDefault="0071514F" w:rsidP="0071514F">
      <w:pPr>
        <w:rPr>
          <w:rFonts w:ascii="Century Gothic" w:hAnsi="Century Gothic" w:cs="Century Gothic"/>
        </w:rPr>
      </w:pPr>
    </w:p>
    <w:p w:rsidR="0071514F" w:rsidRDefault="0071514F" w:rsidP="0071514F">
      <w:pPr>
        <w:rPr>
          <w:rFonts w:ascii="Century Gothic" w:hAnsi="Century Gothic" w:cs="Century Gothic"/>
        </w:rPr>
      </w:pPr>
      <w:r>
        <w:rPr>
          <w:rFonts w:ascii="Century Gothic" w:hAnsi="Century Gothic" w:cs="Century Gothic"/>
        </w:rPr>
        <w:t xml:space="preserve">Please contact us at </w:t>
      </w:r>
      <w:hyperlink r:id="rId7" w:history="1">
        <w:r w:rsidRPr="00893DEA">
          <w:rPr>
            <w:rStyle w:val="Hyperlink"/>
            <w:rFonts w:ascii="Century Gothic" w:hAnsi="Century Gothic" w:cs="Century Gothic"/>
          </w:rPr>
          <w:t>rentals@afmsp.org</w:t>
        </w:r>
      </w:hyperlink>
      <w:r>
        <w:rPr>
          <w:rFonts w:ascii="Century Gothic" w:hAnsi="Century Gothic" w:cs="Century Gothic"/>
        </w:rPr>
        <w:t xml:space="preserve"> or 612 332 0436 with any questions or to inquire about availability.</w:t>
      </w:r>
    </w:p>
    <w:p w:rsidR="0071514F" w:rsidRPr="00D33315" w:rsidRDefault="004B64EB" w:rsidP="004B64EB">
      <w:pPr>
        <w:rPr>
          <w:rFonts w:ascii="Century Gothic" w:hAnsi="Century Gothic" w:cs="Century Gothic"/>
          <w:sz w:val="14"/>
        </w:rPr>
      </w:pPr>
      <w:r>
        <w:rPr>
          <w:b/>
          <w:noProof/>
          <w:u w:val="single"/>
        </w:rPr>
        <w:drawing>
          <wp:anchor distT="0" distB="0" distL="114300" distR="114300" simplePos="0" relativeHeight="251661312" behindDoc="0" locked="0" layoutInCell="1" allowOverlap="1" wp14:anchorId="7505F514" wp14:editId="00980185">
            <wp:simplePos x="0" y="0"/>
            <wp:positionH relativeFrom="column">
              <wp:posOffset>1161425</wp:posOffset>
            </wp:positionH>
            <wp:positionV relativeFrom="paragraph">
              <wp:posOffset>241935</wp:posOffset>
            </wp:positionV>
            <wp:extent cx="3495554" cy="762749"/>
            <wp:effectExtent l="0" t="0" r="0" b="0"/>
            <wp:wrapNone/>
            <wp:docPr id="1" name="Picture 1" descr="AFMSP Real Estate Holdings 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MSP Real Estate Holdings LL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5554" cy="7627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14F" w:rsidRDefault="0071514F">
      <w:pPr>
        <w:spacing w:after="160" w:line="259" w:lineRule="auto"/>
      </w:pPr>
    </w:p>
    <w:p w:rsidR="004B64EB" w:rsidRPr="004B64EB" w:rsidRDefault="0071514F" w:rsidP="004B64EB">
      <w:pPr>
        <w:spacing w:after="160" w:line="259" w:lineRule="auto"/>
        <w:jc w:val="center"/>
      </w:pPr>
      <w:r>
        <w:rPr>
          <w:b/>
        </w:rPr>
        <w:t xml:space="preserve">EXHIBIT </w:t>
      </w:r>
      <w:r w:rsidR="004B64EB">
        <w:rPr>
          <w:b/>
        </w:rPr>
        <w:t>B</w:t>
      </w:r>
    </w:p>
    <w:p w:rsidR="003C3C03" w:rsidRPr="004B64EB" w:rsidRDefault="003C3C03" w:rsidP="003C3C03">
      <w:pPr>
        <w:spacing w:after="160" w:line="259" w:lineRule="auto"/>
        <w:jc w:val="center"/>
      </w:pPr>
      <w:r>
        <w:rPr>
          <w:b/>
        </w:rPr>
        <w:t>EXHIBIT B</w:t>
      </w:r>
    </w:p>
    <w:p w:rsidR="0071514F" w:rsidRDefault="004B64EB" w:rsidP="003C3C03">
      <w:pPr>
        <w:jc w:val="center"/>
        <w:rPr>
          <w:rFonts w:ascii="Georgia" w:hAnsi="Georgia"/>
          <w:b/>
          <w:color w:val="2F5496" w:themeColor="accent5" w:themeShade="BF"/>
          <w:sz w:val="26"/>
          <w:szCs w:val="26"/>
        </w:rPr>
      </w:pPr>
      <w:r w:rsidRPr="00563A12">
        <w:rPr>
          <w:rFonts w:ascii="Georgia" w:hAnsi="Georgia"/>
          <w:b/>
          <w:color w:val="2F5496" w:themeColor="accent5" w:themeShade="BF"/>
          <w:sz w:val="26"/>
          <w:szCs w:val="26"/>
        </w:rPr>
        <w:t>J</w:t>
      </w:r>
      <w:r w:rsidR="0071514F" w:rsidRPr="00563A12">
        <w:rPr>
          <w:rFonts w:ascii="Georgia" w:hAnsi="Georgia"/>
          <w:b/>
          <w:color w:val="2F5496" w:themeColor="accent5" w:themeShade="BF"/>
          <w:sz w:val="26"/>
          <w:szCs w:val="26"/>
        </w:rPr>
        <w:t xml:space="preserve">oly </w:t>
      </w:r>
      <w:r w:rsidR="0071514F">
        <w:rPr>
          <w:rFonts w:ascii="Georgia" w:hAnsi="Georgia"/>
          <w:b/>
          <w:color w:val="2F5496" w:themeColor="accent5" w:themeShade="BF"/>
          <w:sz w:val="26"/>
          <w:szCs w:val="26"/>
        </w:rPr>
        <w:t xml:space="preserve">Family </w:t>
      </w:r>
      <w:r w:rsidR="0071514F" w:rsidRPr="00563A12">
        <w:rPr>
          <w:rFonts w:ascii="Georgia" w:hAnsi="Georgia"/>
          <w:b/>
          <w:color w:val="2F5496" w:themeColor="accent5" w:themeShade="BF"/>
          <w:sz w:val="26"/>
          <w:szCs w:val="26"/>
        </w:rPr>
        <w:t>Center for International Understanding</w:t>
      </w:r>
      <w:r w:rsidR="0071514F">
        <w:rPr>
          <w:rFonts w:ascii="Georgia" w:hAnsi="Georgia"/>
          <w:b/>
          <w:color w:val="2F5496" w:themeColor="accent5" w:themeShade="BF"/>
          <w:sz w:val="26"/>
          <w:szCs w:val="26"/>
        </w:rPr>
        <w:t xml:space="preserve"> : </w:t>
      </w:r>
    </w:p>
    <w:p w:rsidR="0071514F" w:rsidRDefault="0071514F" w:rsidP="0071514F">
      <w:pPr>
        <w:jc w:val="center"/>
        <w:rPr>
          <w:b/>
          <w:u w:val="single"/>
        </w:rPr>
      </w:pPr>
      <w:r w:rsidRPr="00184C52">
        <w:rPr>
          <w:rFonts w:ascii="Georgia" w:hAnsi="Georgia"/>
          <w:b/>
          <w:color w:val="2F5496" w:themeColor="accent5" w:themeShade="BF"/>
          <w:sz w:val="26"/>
          <w:szCs w:val="26"/>
        </w:rPr>
        <w:t xml:space="preserve">Catering </w:t>
      </w:r>
      <w:r>
        <w:rPr>
          <w:rFonts w:ascii="Georgia" w:hAnsi="Georgia"/>
          <w:b/>
          <w:color w:val="2F5496" w:themeColor="accent5" w:themeShade="BF"/>
          <w:sz w:val="26"/>
          <w:szCs w:val="26"/>
        </w:rPr>
        <w:t xml:space="preserve">&amp; Bar </w:t>
      </w:r>
      <w:r w:rsidRPr="00184C52">
        <w:rPr>
          <w:rFonts w:ascii="Georgia" w:hAnsi="Georgia"/>
          <w:b/>
          <w:color w:val="2F5496" w:themeColor="accent5" w:themeShade="BF"/>
          <w:sz w:val="26"/>
          <w:szCs w:val="26"/>
        </w:rPr>
        <w:t>Options</w:t>
      </w:r>
    </w:p>
    <w:p w:rsidR="0071514F" w:rsidRDefault="0071514F" w:rsidP="0071514F">
      <w:pPr>
        <w:rPr>
          <w:rFonts w:ascii="Century Gothic" w:hAnsi="Century Gothic"/>
        </w:rPr>
      </w:pPr>
    </w:p>
    <w:p w:rsidR="0071514F" w:rsidRPr="006B3051" w:rsidRDefault="0071514F" w:rsidP="0071514F">
      <w:pPr>
        <w:rPr>
          <w:rFonts w:ascii="Century Gothic" w:hAnsi="Century Gothic"/>
        </w:rPr>
      </w:pPr>
      <w:r w:rsidRPr="006B3051">
        <w:rPr>
          <w:rFonts w:ascii="Century Gothic" w:hAnsi="Century Gothic"/>
        </w:rPr>
        <w:t xml:space="preserve">According to the </w:t>
      </w:r>
      <w:hyperlink r:id="rId9" w:history="1">
        <w:r w:rsidRPr="006B3051">
          <w:rPr>
            <w:rStyle w:val="Hyperlink"/>
            <w:rFonts w:ascii="Century Gothic" w:hAnsi="Century Gothic"/>
          </w:rPr>
          <w:t>City of Minneapolis</w:t>
        </w:r>
      </w:hyperlink>
      <w:r w:rsidRPr="006B3051">
        <w:rPr>
          <w:rFonts w:ascii="Century Gothic" w:hAnsi="Century Gothic"/>
        </w:rPr>
        <w:t>: “Most events are public events, including ticketed events. If general members of the public can purchase tickets or attend for free, the event is public. Private events are those that only a pre-defined group of people are invited to or can attend. Examples include family reunions, club or team celebrations and employee appreciation dinners.</w:t>
      </w:r>
    </w:p>
    <w:p w:rsidR="0071514F" w:rsidRDefault="0071514F" w:rsidP="0071514F">
      <w:pPr>
        <w:rPr>
          <w:rFonts w:ascii="Century Gothic" w:hAnsi="Century Gothic"/>
        </w:rPr>
      </w:pPr>
    </w:p>
    <w:p w:rsidR="0071514F" w:rsidRPr="006B3051" w:rsidRDefault="0071514F" w:rsidP="0071514F">
      <w:pPr>
        <w:rPr>
          <w:rFonts w:ascii="Century Gothic" w:hAnsi="Century Gothic"/>
        </w:rPr>
      </w:pPr>
      <w:r w:rsidRPr="006B3051">
        <w:rPr>
          <w:rFonts w:ascii="Century Gothic" w:hAnsi="Century Gothic"/>
        </w:rPr>
        <w:t xml:space="preserve">If you are organizing a public event where food or beverages will be sold or given away in the City of Minneapolis, you will need an </w:t>
      </w:r>
      <w:hyperlink r:id="rId10" w:history="1">
        <w:r w:rsidRPr="006B3051">
          <w:rPr>
            <w:rStyle w:val="Hyperlink"/>
            <w:rFonts w:ascii="Century Gothic" w:hAnsi="Century Gothic"/>
          </w:rPr>
          <w:t>Event Food Sponsor Permit</w:t>
        </w:r>
      </w:hyperlink>
      <w:r w:rsidRPr="006B3051">
        <w:rPr>
          <w:rFonts w:ascii="Century Gothic" w:hAnsi="Century Gothic"/>
        </w:rPr>
        <w:t>. This includes sampling (marketing) of food and/or beverage products. Selling or giving away food or beverages without a permit will result in closure and a fine. Private even</w:t>
      </w:r>
      <w:r>
        <w:rPr>
          <w:rFonts w:ascii="Century Gothic" w:hAnsi="Century Gothic"/>
        </w:rPr>
        <w:t>ts do not require food permits.</w:t>
      </w:r>
    </w:p>
    <w:p w:rsidR="0071514F" w:rsidRDefault="0071514F" w:rsidP="0071514F">
      <w:pPr>
        <w:rPr>
          <w:rFonts w:ascii="Century Gothic" w:hAnsi="Century Gothic"/>
        </w:rPr>
      </w:pPr>
    </w:p>
    <w:p w:rsidR="0071514F" w:rsidRDefault="0071514F" w:rsidP="0071514F">
      <w:pPr>
        <w:rPr>
          <w:rFonts w:ascii="Century Gothic" w:hAnsi="Century Gothic"/>
        </w:rPr>
      </w:pPr>
      <w:r w:rsidRPr="006B3051">
        <w:rPr>
          <w:rFonts w:ascii="Century Gothic" w:hAnsi="Century Gothic"/>
        </w:rPr>
        <w:t>If you need help determining if your event is public or private contact 311 and ask for a Health Inspector with the events permit team.”</w:t>
      </w:r>
    </w:p>
    <w:p w:rsidR="0071514F" w:rsidRDefault="0071514F" w:rsidP="0071514F">
      <w:pPr>
        <w:rPr>
          <w:rFonts w:ascii="Century Gothic" w:hAnsi="Century Gothic"/>
        </w:rPr>
      </w:pPr>
    </w:p>
    <w:p w:rsidR="0071514F" w:rsidRDefault="0071514F" w:rsidP="0071514F">
      <w:pPr>
        <w:rPr>
          <w:rFonts w:ascii="Century Gothic" w:hAnsi="Century Gothic"/>
        </w:rPr>
      </w:pPr>
      <w:r>
        <w:rPr>
          <w:rFonts w:ascii="Century Gothic" w:hAnsi="Century Gothic"/>
        </w:rPr>
        <w:t xml:space="preserve">If alcohol is to be served at a public event, a Liquor License delivered by the city of Minneapolis must be presented to AFMSP </w:t>
      </w:r>
      <w:r w:rsidRPr="00FC7538">
        <w:rPr>
          <w:rFonts w:ascii="Century Gothic" w:hAnsi="Century Gothic"/>
          <w:b/>
        </w:rPr>
        <w:t>at least 10 days before the date of rental</w:t>
      </w:r>
      <w:r>
        <w:rPr>
          <w:rFonts w:ascii="Century Gothic" w:hAnsi="Century Gothic"/>
        </w:rPr>
        <w:t xml:space="preserve">.  A </w:t>
      </w:r>
      <w:hyperlink r:id="rId11" w:history="1">
        <w:r w:rsidRPr="0055763D">
          <w:rPr>
            <w:rStyle w:val="Hyperlink"/>
            <w:rFonts w:ascii="Century Gothic" w:hAnsi="Century Gothic"/>
          </w:rPr>
          <w:t>Temporary Alcohol Permit</w:t>
        </w:r>
      </w:hyperlink>
      <w:r>
        <w:rPr>
          <w:rFonts w:ascii="Century Gothic" w:hAnsi="Century Gothic"/>
        </w:rPr>
        <w:t xml:space="preserve"> is required by the city of Minneapolis unless you hire a catering service that has a liquor license.  </w:t>
      </w:r>
    </w:p>
    <w:p w:rsidR="0071514F" w:rsidRDefault="0071514F" w:rsidP="0071514F">
      <w:pPr>
        <w:rPr>
          <w:rFonts w:ascii="Century Gothic" w:hAnsi="Century Gothic"/>
          <w:b/>
          <w:u w:val="single"/>
        </w:rPr>
      </w:pPr>
    </w:p>
    <w:p w:rsidR="0071514F" w:rsidRPr="00FD7465" w:rsidRDefault="0071514F" w:rsidP="0071514F">
      <w:pPr>
        <w:rPr>
          <w:rFonts w:ascii="Century Gothic" w:hAnsi="Century Gothic"/>
          <w:b/>
          <w:u w:val="single"/>
        </w:rPr>
      </w:pPr>
      <w:r>
        <w:rPr>
          <w:rFonts w:ascii="Century Gothic" w:hAnsi="Century Gothic"/>
          <w:b/>
          <w:u w:val="single"/>
        </w:rPr>
        <w:t>Catering</w:t>
      </w:r>
      <w:r w:rsidRPr="00184C52">
        <w:rPr>
          <w:rFonts w:ascii="Century Gothic" w:hAnsi="Century Gothic"/>
          <w:b/>
          <w:u w:val="single"/>
        </w:rPr>
        <w:t xml:space="preserve"> </w:t>
      </w:r>
      <w:r>
        <w:rPr>
          <w:rFonts w:ascii="Century Gothic" w:hAnsi="Century Gothic"/>
          <w:b/>
          <w:u w:val="single"/>
        </w:rPr>
        <w:t>services</w:t>
      </w:r>
      <w:r w:rsidRPr="00184C52">
        <w:rPr>
          <w:rFonts w:ascii="Century Gothic" w:hAnsi="Century Gothic"/>
          <w:b/>
          <w:u w:val="single"/>
        </w:rPr>
        <w:t xml:space="preserve"> </w:t>
      </w:r>
    </w:p>
    <w:p w:rsidR="0071514F" w:rsidRPr="00184C52" w:rsidRDefault="0071514F" w:rsidP="0071514F">
      <w:pPr>
        <w:pStyle w:val="ListParagraph"/>
        <w:numPr>
          <w:ilvl w:val="0"/>
          <w:numId w:val="3"/>
        </w:numPr>
        <w:rPr>
          <w:rFonts w:ascii="Century Gothic" w:hAnsi="Century Gothic"/>
        </w:rPr>
      </w:pPr>
      <w:r w:rsidRPr="00184C52">
        <w:rPr>
          <w:rFonts w:ascii="Century Gothic" w:hAnsi="Century Gothic"/>
        </w:rPr>
        <w:t>Chow Girls</w:t>
      </w:r>
    </w:p>
    <w:p w:rsidR="0071514F" w:rsidRPr="00184C52" w:rsidRDefault="0071514F" w:rsidP="0071514F">
      <w:pPr>
        <w:pStyle w:val="ListParagraph"/>
        <w:numPr>
          <w:ilvl w:val="1"/>
          <w:numId w:val="3"/>
        </w:numPr>
        <w:rPr>
          <w:rFonts w:ascii="Century Gothic" w:hAnsi="Century Gothic"/>
        </w:rPr>
      </w:pPr>
      <w:r w:rsidRPr="00184C52">
        <w:rPr>
          <w:rFonts w:ascii="Century Gothic" w:hAnsi="Century Gothic"/>
        </w:rPr>
        <w:t>Has a liquor license</w:t>
      </w:r>
    </w:p>
    <w:p w:rsidR="0071514F" w:rsidRPr="00184C52" w:rsidRDefault="008F6A73" w:rsidP="0071514F">
      <w:pPr>
        <w:pStyle w:val="ListParagraph"/>
        <w:numPr>
          <w:ilvl w:val="1"/>
          <w:numId w:val="3"/>
        </w:numPr>
        <w:rPr>
          <w:rFonts w:ascii="Century Gothic" w:hAnsi="Century Gothic"/>
        </w:rPr>
      </w:pPr>
      <w:hyperlink r:id="rId12" w:tgtFrame="_blank" w:history="1">
        <w:r w:rsidR="0071514F" w:rsidRPr="00184C52">
          <w:rPr>
            <w:rStyle w:val="Hyperlink"/>
            <w:rFonts w:ascii="Century Gothic" w:hAnsi="Century Gothic" w:cs="Calibri"/>
          </w:rPr>
          <w:t>https://www.chowgirls.net/</w:t>
        </w:r>
      </w:hyperlink>
    </w:p>
    <w:p w:rsidR="0071514F" w:rsidRPr="00184C52" w:rsidRDefault="0071514F" w:rsidP="0071514F">
      <w:pPr>
        <w:pStyle w:val="ListParagraph"/>
        <w:numPr>
          <w:ilvl w:val="0"/>
          <w:numId w:val="3"/>
        </w:numPr>
        <w:rPr>
          <w:rFonts w:ascii="Century Gothic" w:hAnsi="Century Gothic"/>
        </w:rPr>
      </w:pPr>
      <w:r w:rsidRPr="00184C52">
        <w:rPr>
          <w:rFonts w:ascii="Century Gothic" w:hAnsi="Century Gothic"/>
        </w:rPr>
        <w:t>D’Amico</w:t>
      </w:r>
    </w:p>
    <w:p w:rsidR="0071514F" w:rsidRPr="00184C52" w:rsidRDefault="0071514F" w:rsidP="0071514F">
      <w:pPr>
        <w:pStyle w:val="ListParagraph"/>
        <w:numPr>
          <w:ilvl w:val="1"/>
          <w:numId w:val="3"/>
        </w:numPr>
        <w:rPr>
          <w:rFonts w:ascii="Century Gothic" w:hAnsi="Century Gothic"/>
        </w:rPr>
      </w:pPr>
      <w:r w:rsidRPr="00184C52">
        <w:rPr>
          <w:rFonts w:ascii="Century Gothic" w:hAnsi="Century Gothic"/>
        </w:rPr>
        <w:t>Has a liquor license</w:t>
      </w:r>
    </w:p>
    <w:p w:rsidR="0071514F" w:rsidRPr="00184C52" w:rsidRDefault="008F6A73" w:rsidP="0071514F">
      <w:pPr>
        <w:pStyle w:val="ListParagraph"/>
        <w:numPr>
          <w:ilvl w:val="1"/>
          <w:numId w:val="3"/>
        </w:numPr>
        <w:rPr>
          <w:rFonts w:ascii="Century Gothic" w:hAnsi="Century Gothic"/>
        </w:rPr>
      </w:pPr>
      <w:hyperlink r:id="rId13" w:tgtFrame="_blank" w:history="1">
        <w:r w:rsidR="0071514F" w:rsidRPr="00184C52">
          <w:rPr>
            <w:rStyle w:val="Hyperlink"/>
            <w:rFonts w:ascii="Century Gothic" w:hAnsi="Century Gothic" w:cs="Calibri"/>
          </w:rPr>
          <w:t>https://damicocatering.com/</w:t>
        </w:r>
      </w:hyperlink>
    </w:p>
    <w:p w:rsidR="0071514F" w:rsidRPr="00184C52" w:rsidRDefault="0071514F" w:rsidP="0071514F">
      <w:pPr>
        <w:pStyle w:val="ListParagraph"/>
        <w:numPr>
          <w:ilvl w:val="0"/>
          <w:numId w:val="3"/>
        </w:numPr>
        <w:rPr>
          <w:rFonts w:ascii="Century Gothic" w:hAnsi="Century Gothic"/>
        </w:rPr>
      </w:pPr>
      <w:r w:rsidRPr="00184C52">
        <w:rPr>
          <w:rFonts w:ascii="Century Gothic" w:hAnsi="Century Gothic"/>
        </w:rPr>
        <w:t>Breaking Bread</w:t>
      </w:r>
    </w:p>
    <w:p w:rsidR="0071514F" w:rsidRPr="00184C52" w:rsidRDefault="0071514F" w:rsidP="0071514F">
      <w:pPr>
        <w:pStyle w:val="ListParagraph"/>
        <w:numPr>
          <w:ilvl w:val="1"/>
          <w:numId w:val="3"/>
        </w:numPr>
        <w:rPr>
          <w:rFonts w:ascii="Century Gothic" w:hAnsi="Century Gothic"/>
        </w:rPr>
      </w:pPr>
      <w:r w:rsidRPr="00184C52">
        <w:rPr>
          <w:rFonts w:ascii="Century Gothic" w:hAnsi="Century Gothic"/>
        </w:rPr>
        <w:t>Has a liquor license</w:t>
      </w:r>
    </w:p>
    <w:p w:rsidR="0071514F" w:rsidRPr="00184C52" w:rsidRDefault="008F6A73" w:rsidP="0071514F">
      <w:pPr>
        <w:pStyle w:val="ListParagraph"/>
        <w:numPr>
          <w:ilvl w:val="1"/>
          <w:numId w:val="3"/>
        </w:numPr>
        <w:rPr>
          <w:rFonts w:ascii="Century Gothic" w:hAnsi="Century Gothic"/>
        </w:rPr>
      </w:pPr>
      <w:hyperlink r:id="rId14" w:tgtFrame="_blank" w:history="1">
        <w:r w:rsidR="0071514F" w:rsidRPr="00184C52">
          <w:rPr>
            <w:rStyle w:val="Hyperlink"/>
            <w:rFonts w:ascii="Century Gothic" w:hAnsi="Century Gothic" w:cs="Calibri"/>
          </w:rPr>
          <w:t>https://breakingbreadfoods.com/catering/</w:t>
        </w:r>
      </w:hyperlink>
    </w:p>
    <w:p w:rsidR="0071514F" w:rsidRPr="00184C52" w:rsidRDefault="0071514F" w:rsidP="0071514F">
      <w:pPr>
        <w:pStyle w:val="ListParagraph"/>
        <w:numPr>
          <w:ilvl w:val="0"/>
          <w:numId w:val="3"/>
        </w:numPr>
        <w:rPr>
          <w:rFonts w:ascii="Century Gothic" w:hAnsi="Century Gothic"/>
        </w:rPr>
      </w:pPr>
      <w:r w:rsidRPr="00184C52">
        <w:rPr>
          <w:rFonts w:ascii="Century Gothic" w:hAnsi="Century Gothic"/>
        </w:rPr>
        <w:t>Valerie’s French Kitchen</w:t>
      </w:r>
    </w:p>
    <w:p w:rsidR="0071514F" w:rsidRPr="00184C52" w:rsidRDefault="0071514F" w:rsidP="0071514F">
      <w:pPr>
        <w:pStyle w:val="ListParagraph"/>
        <w:numPr>
          <w:ilvl w:val="1"/>
          <w:numId w:val="3"/>
        </w:numPr>
        <w:rPr>
          <w:rFonts w:ascii="Century Gothic" w:eastAsia="Times New Roman" w:hAnsi="Century Gothic" w:cs="Calibri"/>
        </w:rPr>
      </w:pPr>
      <w:r w:rsidRPr="006B3051">
        <w:rPr>
          <w:rFonts w:ascii="Century Gothic" w:eastAsia="Times New Roman" w:hAnsi="Century Gothic" w:cs="Calibri"/>
        </w:rPr>
        <w:t>Does not have a liquor license</w:t>
      </w:r>
    </w:p>
    <w:p w:rsidR="0071514F" w:rsidRDefault="0071514F" w:rsidP="0071514F">
      <w:pPr>
        <w:pStyle w:val="ListParagraph"/>
        <w:numPr>
          <w:ilvl w:val="1"/>
          <w:numId w:val="3"/>
        </w:numPr>
        <w:rPr>
          <w:rFonts w:ascii="Century Gothic" w:hAnsi="Century Gothic"/>
        </w:rPr>
      </w:pPr>
      <w:r w:rsidRPr="00184C52">
        <w:rPr>
          <w:rFonts w:ascii="Century Gothic" w:eastAsia="Times New Roman" w:hAnsi="Century Gothic" w:cs="Calibri"/>
          <w:lang w:val="fr-FR"/>
        </w:rPr>
        <w:t>Site web :</w:t>
      </w:r>
      <w:r w:rsidRPr="00184C52">
        <w:rPr>
          <w:rStyle w:val="apple-converted-space"/>
          <w:rFonts w:ascii="Century Gothic" w:eastAsia="Times New Roman" w:hAnsi="Century Gothic" w:cs="Calibri"/>
          <w:lang w:val="fr-FR"/>
        </w:rPr>
        <w:t> </w:t>
      </w:r>
      <w:hyperlink r:id="rId15" w:history="1">
        <w:r w:rsidRPr="000D3B34">
          <w:rPr>
            <w:rStyle w:val="Hyperlink"/>
            <w:rFonts w:ascii="Century Gothic" w:eastAsia="Times New Roman" w:hAnsi="Century Gothic" w:cs="Calibri"/>
            <w:lang w:val="fr-FR"/>
          </w:rPr>
          <w:t>valeriesfrenchkitchen.com</w:t>
        </w:r>
      </w:hyperlink>
      <w:r w:rsidRPr="006B3051">
        <w:rPr>
          <w:rFonts w:ascii="Century Gothic" w:hAnsi="Century Gothic"/>
        </w:rPr>
        <w:t xml:space="preserve"> </w:t>
      </w:r>
    </w:p>
    <w:p w:rsidR="0071514F" w:rsidRPr="00184C52" w:rsidRDefault="0071514F" w:rsidP="0071514F">
      <w:pPr>
        <w:pStyle w:val="ListParagraph"/>
        <w:numPr>
          <w:ilvl w:val="0"/>
          <w:numId w:val="3"/>
        </w:numPr>
        <w:rPr>
          <w:rFonts w:ascii="Century Gothic" w:hAnsi="Century Gothic"/>
        </w:rPr>
      </w:pPr>
      <w:r w:rsidRPr="00184C52">
        <w:rPr>
          <w:rFonts w:ascii="Century Gothic" w:hAnsi="Century Gothic"/>
        </w:rPr>
        <w:t>Oh Crêpe!</w:t>
      </w:r>
    </w:p>
    <w:p w:rsidR="0071514F" w:rsidRPr="00184C52" w:rsidRDefault="0071514F" w:rsidP="0071514F">
      <w:pPr>
        <w:pStyle w:val="ListParagraph"/>
        <w:numPr>
          <w:ilvl w:val="1"/>
          <w:numId w:val="3"/>
        </w:numPr>
        <w:rPr>
          <w:rFonts w:ascii="Century Gothic" w:eastAsia="Times New Roman" w:hAnsi="Century Gothic" w:cs="Calibri"/>
        </w:rPr>
      </w:pPr>
      <w:r w:rsidRPr="006B3051">
        <w:rPr>
          <w:rFonts w:ascii="Century Gothic" w:eastAsia="Times New Roman" w:hAnsi="Century Gothic" w:cs="Calibri"/>
        </w:rPr>
        <w:t>Does not have a liquor license</w:t>
      </w:r>
    </w:p>
    <w:p w:rsidR="0071514F" w:rsidRPr="0071514F" w:rsidRDefault="008F6A73" w:rsidP="0071514F">
      <w:pPr>
        <w:pStyle w:val="ListParagraph"/>
        <w:numPr>
          <w:ilvl w:val="1"/>
          <w:numId w:val="3"/>
        </w:numPr>
        <w:rPr>
          <w:rFonts w:ascii="Century Gothic" w:hAnsi="Century Gothic"/>
        </w:rPr>
      </w:pPr>
      <w:hyperlink r:id="rId16" w:history="1">
        <w:r w:rsidR="0071514F" w:rsidRPr="00184C52">
          <w:rPr>
            <w:rStyle w:val="Hyperlink"/>
            <w:rFonts w:ascii="Century Gothic" w:hAnsi="Century Gothic"/>
          </w:rPr>
          <w:t>https://www.ohcrepemn.com/</w:t>
        </w:r>
      </w:hyperlink>
    </w:p>
    <w:p w:rsidR="0071514F" w:rsidRPr="00184C52" w:rsidRDefault="0071514F" w:rsidP="0071514F">
      <w:pPr>
        <w:rPr>
          <w:rFonts w:ascii="Century Gothic" w:hAnsi="Century Gothic"/>
          <w:b/>
          <w:u w:val="single"/>
        </w:rPr>
      </w:pPr>
      <w:r w:rsidRPr="00184C52">
        <w:rPr>
          <w:rFonts w:ascii="Century Gothic" w:hAnsi="Century Gothic"/>
          <w:b/>
          <w:u w:val="single"/>
        </w:rPr>
        <w:t xml:space="preserve">Bartending </w:t>
      </w:r>
      <w:r>
        <w:rPr>
          <w:rFonts w:ascii="Century Gothic" w:hAnsi="Century Gothic"/>
          <w:b/>
          <w:u w:val="single"/>
        </w:rPr>
        <w:t>services</w:t>
      </w:r>
      <w:r w:rsidRPr="00184C52">
        <w:rPr>
          <w:rFonts w:ascii="Century Gothic" w:hAnsi="Century Gothic"/>
          <w:b/>
          <w:u w:val="single"/>
        </w:rPr>
        <w:t xml:space="preserve"> </w:t>
      </w:r>
    </w:p>
    <w:p w:rsidR="0071514F" w:rsidRDefault="008F6A73" w:rsidP="0071514F">
      <w:pPr>
        <w:pStyle w:val="ListParagraph"/>
        <w:numPr>
          <w:ilvl w:val="0"/>
          <w:numId w:val="4"/>
        </w:numPr>
        <w:rPr>
          <w:rFonts w:ascii="Century Gothic" w:hAnsi="Century Gothic"/>
        </w:rPr>
      </w:pPr>
      <w:hyperlink r:id="rId17" w:history="1">
        <w:r w:rsidR="0071514F" w:rsidRPr="006B3051">
          <w:rPr>
            <w:rStyle w:val="Hyperlink"/>
            <w:rFonts w:ascii="Century Gothic" w:hAnsi="Century Gothic"/>
          </w:rPr>
          <w:t>Hire a Host</w:t>
        </w:r>
      </w:hyperlink>
    </w:p>
    <w:p w:rsidR="0071514F" w:rsidRPr="00184C52" w:rsidRDefault="008F6A73" w:rsidP="0071514F">
      <w:pPr>
        <w:pStyle w:val="ListParagraph"/>
        <w:numPr>
          <w:ilvl w:val="0"/>
          <w:numId w:val="4"/>
        </w:numPr>
        <w:rPr>
          <w:rFonts w:ascii="Century Gothic" w:hAnsi="Century Gothic"/>
        </w:rPr>
      </w:pPr>
      <w:hyperlink r:id="rId18" w:history="1">
        <w:r w:rsidR="0071514F" w:rsidRPr="006B3051">
          <w:rPr>
            <w:rStyle w:val="Hyperlink"/>
            <w:rFonts w:ascii="Century Gothic" w:hAnsi="Century Gothic"/>
          </w:rPr>
          <w:t>With a Twist</w:t>
        </w:r>
      </w:hyperlink>
    </w:p>
    <w:p w:rsidR="0071514F" w:rsidRPr="0071514F" w:rsidRDefault="008F6A73" w:rsidP="0071514F">
      <w:pPr>
        <w:pStyle w:val="ListParagraph"/>
        <w:numPr>
          <w:ilvl w:val="0"/>
          <w:numId w:val="4"/>
        </w:numPr>
        <w:rPr>
          <w:rFonts w:ascii="Century Gothic" w:hAnsi="Century Gothic"/>
        </w:rPr>
      </w:pPr>
      <w:hyperlink r:id="rId19" w:history="1">
        <w:r w:rsidR="0071514F" w:rsidRPr="006B3051">
          <w:rPr>
            <w:rStyle w:val="Hyperlink"/>
            <w:rFonts w:ascii="Century Gothic" w:hAnsi="Century Gothic"/>
          </w:rPr>
          <w:t>Liquid Motion</w:t>
        </w:r>
      </w:hyperlink>
    </w:p>
    <w:p w:rsidR="0071514F" w:rsidRPr="0071514F" w:rsidRDefault="0071514F" w:rsidP="0071514F">
      <w:pPr>
        <w:rPr>
          <w:rFonts w:ascii="Century Gothic" w:hAnsi="Century Gothic"/>
        </w:rPr>
      </w:pPr>
      <w:r>
        <w:rPr>
          <w:b/>
          <w:noProof/>
          <w:u w:val="single"/>
        </w:rPr>
        <w:drawing>
          <wp:anchor distT="0" distB="0" distL="114300" distR="114300" simplePos="0" relativeHeight="251659264" behindDoc="0" locked="0" layoutInCell="1" allowOverlap="1" wp14:anchorId="154C7CFB" wp14:editId="326368CD">
            <wp:simplePos x="0" y="0"/>
            <wp:positionH relativeFrom="column">
              <wp:posOffset>1249720</wp:posOffset>
            </wp:positionH>
            <wp:positionV relativeFrom="paragraph">
              <wp:posOffset>281852</wp:posOffset>
            </wp:positionV>
            <wp:extent cx="3495554" cy="762749"/>
            <wp:effectExtent l="0" t="0" r="0" b="0"/>
            <wp:wrapNone/>
            <wp:docPr id="7" name="Picture 7" descr="AFMSP Real Estate Holdings 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MSP Real Estate Holdings LL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5554" cy="7627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C52">
        <w:rPr>
          <w:rFonts w:ascii="Century Gothic" w:hAnsi="Century Gothic"/>
        </w:rPr>
        <w:t xml:space="preserve">If you have any questions, please ask us at 612 332 0436 or </w:t>
      </w:r>
      <w:hyperlink r:id="rId20" w:history="1">
        <w:r w:rsidRPr="00184C52">
          <w:rPr>
            <w:rStyle w:val="Hyperlink"/>
            <w:rFonts w:ascii="Century Gothic" w:hAnsi="Century Gothic"/>
          </w:rPr>
          <w:t>rentals@afmsp.org</w:t>
        </w:r>
      </w:hyperlink>
    </w:p>
    <w:sectPr w:rsidR="0071514F" w:rsidRPr="0071514F" w:rsidSect="000D01DC">
      <w:footerReference w:type="default" r:id="rId21"/>
      <w:pgSz w:w="12240" w:h="15840"/>
      <w:pgMar w:top="360" w:right="126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C9B" w:rsidRDefault="00D66C9B" w:rsidP="00D66C9B">
      <w:r>
        <w:separator/>
      </w:r>
    </w:p>
  </w:endnote>
  <w:endnote w:type="continuationSeparator" w:id="0">
    <w:p w:rsidR="00D66C9B" w:rsidRDefault="00D66C9B" w:rsidP="00D6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41711"/>
      <w:docPartObj>
        <w:docPartGallery w:val="Page Numbers (Bottom of Page)"/>
        <w:docPartUnique/>
      </w:docPartObj>
    </w:sdtPr>
    <w:sdtEndPr>
      <w:rPr>
        <w:noProof/>
      </w:rPr>
    </w:sdtEndPr>
    <w:sdtContent>
      <w:p w:rsidR="00D66C9B" w:rsidRDefault="00D66C9B">
        <w:pPr>
          <w:pStyle w:val="Footer"/>
          <w:jc w:val="right"/>
        </w:pPr>
        <w:r>
          <w:fldChar w:fldCharType="begin"/>
        </w:r>
        <w:r>
          <w:instrText xml:space="preserve"> PAGE   \* MERGEFORMAT </w:instrText>
        </w:r>
        <w:r>
          <w:fldChar w:fldCharType="separate"/>
        </w:r>
        <w:r w:rsidR="008F6A73">
          <w:rPr>
            <w:noProof/>
          </w:rPr>
          <w:t>2</w:t>
        </w:r>
        <w:r>
          <w:rPr>
            <w:noProof/>
          </w:rPr>
          <w:fldChar w:fldCharType="end"/>
        </w:r>
      </w:p>
    </w:sdtContent>
  </w:sdt>
  <w:p w:rsidR="00D66C9B" w:rsidRDefault="00D66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C9B" w:rsidRDefault="00D66C9B" w:rsidP="00D66C9B">
      <w:r>
        <w:separator/>
      </w:r>
    </w:p>
  </w:footnote>
  <w:footnote w:type="continuationSeparator" w:id="0">
    <w:p w:rsidR="00D66C9B" w:rsidRDefault="00D66C9B" w:rsidP="00D66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590F"/>
    <w:multiLevelType w:val="hybridMultilevel"/>
    <w:tmpl w:val="DF76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51B0D"/>
    <w:multiLevelType w:val="hybridMultilevel"/>
    <w:tmpl w:val="D502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127D6"/>
    <w:multiLevelType w:val="hybridMultilevel"/>
    <w:tmpl w:val="11CAC3BC"/>
    <w:lvl w:ilvl="0" w:tplc="6018F784">
      <w:start w:val="20"/>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C07C8"/>
    <w:multiLevelType w:val="hybridMultilevel"/>
    <w:tmpl w:val="60F6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C071C"/>
    <w:multiLevelType w:val="multilevel"/>
    <w:tmpl w:val="C3A4E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6F"/>
    <w:rsid w:val="00020E42"/>
    <w:rsid w:val="00083707"/>
    <w:rsid w:val="000D01DC"/>
    <w:rsid w:val="000D3B34"/>
    <w:rsid w:val="00124817"/>
    <w:rsid w:val="00135653"/>
    <w:rsid w:val="00234444"/>
    <w:rsid w:val="003C3C03"/>
    <w:rsid w:val="004B64EB"/>
    <w:rsid w:val="004E0A29"/>
    <w:rsid w:val="00613090"/>
    <w:rsid w:val="0071514F"/>
    <w:rsid w:val="007C4407"/>
    <w:rsid w:val="00815F55"/>
    <w:rsid w:val="008F6A73"/>
    <w:rsid w:val="00955895"/>
    <w:rsid w:val="009E18A0"/>
    <w:rsid w:val="00AE4998"/>
    <w:rsid w:val="00AF3B6F"/>
    <w:rsid w:val="00C43C06"/>
    <w:rsid w:val="00D01960"/>
    <w:rsid w:val="00D2026C"/>
    <w:rsid w:val="00D66C9B"/>
    <w:rsid w:val="00F1178F"/>
    <w:rsid w:val="00F31861"/>
    <w:rsid w:val="00FC489C"/>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2DDE50"/>
  <w15:chartTrackingRefBased/>
  <w15:docId w15:val="{61ABBF56-E6A3-45D9-A850-D4EA4804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B6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F3B6F"/>
    <w:pPr>
      <w:spacing w:after="240"/>
      <w:jc w:val="both"/>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B6F"/>
    <w:rPr>
      <w:rFonts w:ascii="Times New Roman" w:hAnsi="Times New Roman" w:cs="Times New Roman"/>
      <w:kern w:val="36"/>
      <w:sz w:val="24"/>
      <w:szCs w:val="24"/>
    </w:rPr>
  </w:style>
  <w:style w:type="character" w:styleId="Hyperlink">
    <w:name w:val="Hyperlink"/>
    <w:basedOn w:val="DefaultParagraphFont"/>
    <w:uiPriority w:val="99"/>
    <w:unhideWhenUsed/>
    <w:rsid w:val="00AF3B6F"/>
    <w:rPr>
      <w:color w:val="0000FF"/>
      <w:u w:val="single"/>
    </w:rPr>
  </w:style>
  <w:style w:type="paragraph" w:customStyle="1" w:styleId="xmsonormal">
    <w:name w:val="x_msonormal"/>
    <w:basedOn w:val="Normal"/>
    <w:rsid w:val="00AF3B6F"/>
    <w:rPr>
      <w:rFonts w:ascii="Calibri" w:hAnsi="Calibri" w:cs="Calibri"/>
      <w:sz w:val="22"/>
      <w:szCs w:val="22"/>
    </w:rPr>
  </w:style>
  <w:style w:type="paragraph" w:customStyle="1" w:styleId="xmsonospacing">
    <w:name w:val="x_msonospacing"/>
    <w:basedOn w:val="Normal"/>
    <w:rsid w:val="00AF3B6F"/>
    <w:rPr>
      <w:rFonts w:ascii="Calibri" w:hAnsi="Calibri" w:cs="Calibri"/>
      <w:sz w:val="22"/>
      <w:szCs w:val="22"/>
    </w:rPr>
  </w:style>
  <w:style w:type="character" w:customStyle="1" w:styleId="xmsofootnotereference">
    <w:name w:val="x_msofootnotereference"/>
    <w:basedOn w:val="DefaultParagraphFont"/>
    <w:rsid w:val="00AF3B6F"/>
    <w:rPr>
      <w:vertAlign w:val="superscript"/>
    </w:rPr>
  </w:style>
  <w:style w:type="paragraph" w:styleId="BalloonText">
    <w:name w:val="Balloon Text"/>
    <w:basedOn w:val="Normal"/>
    <w:link w:val="BalloonTextChar"/>
    <w:uiPriority w:val="99"/>
    <w:semiHidden/>
    <w:unhideWhenUsed/>
    <w:rsid w:val="00F11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78F"/>
    <w:rPr>
      <w:rFonts w:ascii="Segoe UI" w:hAnsi="Segoe UI" w:cs="Segoe UI"/>
      <w:sz w:val="18"/>
      <w:szCs w:val="18"/>
    </w:rPr>
  </w:style>
  <w:style w:type="character" w:styleId="CommentReference">
    <w:name w:val="annotation reference"/>
    <w:basedOn w:val="DefaultParagraphFont"/>
    <w:uiPriority w:val="99"/>
    <w:semiHidden/>
    <w:unhideWhenUsed/>
    <w:rsid w:val="00AE4998"/>
    <w:rPr>
      <w:sz w:val="16"/>
      <w:szCs w:val="16"/>
    </w:rPr>
  </w:style>
  <w:style w:type="paragraph" w:styleId="CommentText">
    <w:name w:val="annotation text"/>
    <w:basedOn w:val="Normal"/>
    <w:link w:val="CommentTextChar"/>
    <w:uiPriority w:val="99"/>
    <w:semiHidden/>
    <w:unhideWhenUsed/>
    <w:rsid w:val="00AE4998"/>
    <w:rPr>
      <w:sz w:val="20"/>
      <w:szCs w:val="20"/>
    </w:rPr>
  </w:style>
  <w:style w:type="character" w:customStyle="1" w:styleId="CommentTextChar">
    <w:name w:val="Comment Text Char"/>
    <w:basedOn w:val="DefaultParagraphFont"/>
    <w:link w:val="CommentText"/>
    <w:uiPriority w:val="99"/>
    <w:semiHidden/>
    <w:rsid w:val="00AE499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4998"/>
    <w:rPr>
      <w:b/>
      <w:bCs/>
    </w:rPr>
  </w:style>
  <w:style w:type="character" w:customStyle="1" w:styleId="CommentSubjectChar">
    <w:name w:val="Comment Subject Char"/>
    <w:basedOn w:val="CommentTextChar"/>
    <w:link w:val="CommentSubject"/>
    <w:uiPriority w:val="99"/>
    <w:semiHidden/>
    <w:rsid w:val="00AE4998"/>
    <w:rPr>
      <w:rFonts w:ascii="Times New Roman" w:hAnsi="Times New Roman" w:cs="Times New Roman"/>
      <w:b/>
      <w:bCs/>
      <w:sz w:val="20"/>
      <w:szCs w:val="20"/>
    </w:rPr>
  </w:style>
  <w:style w:type="paragraph" w:styleId="Header">
    <w:name w:val="header"/>
    <w:basedOn w:val="Normal"/>
    <w:link w:val="HeaderChar"/>
    <w:uiPriority w:val="99"/>
    <w:unhideWhenUsed/>
    <w:rsid w:val="00D66C9B"/>
    <w:pPr>
      <w:tabs>
        <w:tab w:val="center" w:pos="4680"/>
        <w:tab w:val="right" w:pos="9360"/>
      </w:tabs>
    </w:pPr>
  </w:style>
  <w:style w:type="character" w:customStyle="1" w:styleId="HeaderChar">
    <w:name w:val="Header Char"/>
    <w:basedOn w:val="DefaultParagraphFont"/>
    <w:link w:val="Header"/>
    <w:uiPriority w:val="99"/>
    <w:rsid w:val="00D66C9B"/>
    <w:rPr>
      <w:rFonts w:ascii="Times New Roman" w:hAnsi="Times New Roman" w:cs="Times New Roman"/>
      <w:sz w:val="24"/>
      <w:szCs w:val="24"/>
    </w:rPr>
  </w:style>
  <w:style w:type="paragraph" w:styleId="Footer">
    <w:name w:val="footer"/>
    <w:basedOn w:val="Normal"/>
    <w:link w:val="FooterChar"/>
    <w:uiPriority w:val="99"/>
    <w:unhideWhenUsed/>
    <w:rsid w:val="00D66C9B"/>
    <w:pPr>
      <w:tabs>
        <w:tab w:val="center" w:pos="4680"/>
        <w:tab w:val="right" w:pos="9360"/>
      </w:tabs>
    </w:pPr>
  </w:style>
  <w:style w:type="character" w:customStyle="1" w:styleId="FooterChar">
    <w:name w:val="Footer Char"/>
    <w:basedOn w:val="DefaultParagraphFont"/>
    <w:link w:val="Footer"/>
    <w:uiPriority w:val="99"/>
    <w:rsid w:val="00D66C9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1514F"/>
    <w:rPr>
      <w:color w:val="954F72" w:themeColor="followedHyperlink"/>
      <w:u w:val="single"/>
    </w:rPr>
  </w:style>
  <w:style w:type="paragraph" w:styleId="ListParagraph">
    <w:name w:val="List Paragraph"/>
    <w:basedOn w:val="Normal"/>
    <w:uiPriority w:val="34"/>
    <w:qFormat/>
    <w:rsid w:val="0071514F"/>
    <w:pPr>
      <w:spacing w:after="160" w:line="259"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71514F"/>
  </w:style>
  <w:style w:type="table" w:styleId="TableGrid">
    <w:name w:val="Table Grid"/>
    <w:basedOn w:val="TableNormal"/>
    <w:uiPriority w:val="39"/>
    <w:rsid w:val="00715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25096">
      <w:bodyDiv w:val="1"/>
      <w:marLeft w:val="0"/>
      <w:marRight w:val="0"/>
      <w:marTop w:val="0"/>
      <w:marBottom w:val="0"/>
      <w:divBdr>
        <w:top w:val="none" w:sz="0" w:space="0" w:color="auto"/>
        <w:left w:val="none" w:sz="0" w:space="0" w:color="auto"/>
        <w:bottom w:val="none" w:sz="0" w:space="0" w:color="auto"/>
        <w:right w:val="none" w:sz="0" w:space="0" w:color="auto"/>
      </w:divBdr>
    </w:div>
    <w:div w:id="18417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micocatering.com/" TargetMode="External"/><Relationship Id="rId18" Type="http://schemas.openxmlformats.org/officeDocument/2006/relationships/hyperlink" Target="https://twistbartendingservice.com/bartending-services-minneapoli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server01\AFSharedDocs\Reception\Facilities%20rental%20information\Rental%20Agreements\rentals@afmsp.org%20" TargetMode="External"/><Relationship Id="rId12" Type="http://schemas.openxmlformats.org/officeDocument/2006/relationships/hyperlink" Target="https://www.chowgirls.net/" TargetMode="External"/><Relationship Id="rId17" Type="http://schemas.openxmlformats.org/officeDocument/2006/relationships/hyperlink" Target="https://hireahost.net/" TargetMode="External"/><Relationship Id="rId2" Type="http://schemas.openxmlformats.org/officeDocument/2006/relationships/styles" Target="styles.xml"/><Relationship Id="rId16" Type="http://schemas.openxmlformats.org/officeDocument/2006/relationships/hyperlink" Target="https://www.ohcrepemn.com/" TargetMode="External"/><Relationship Id="rId20" Type="http://schemas.openxmlformats.org/officeDocument/2006/relationships/hyperlink" Target="mailto:rentals@afms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minneapolismn.gov/business-services/licenses-permits/special-events-temp-permits/temp-permits/temporary-alcohol-permits/" TargetMode="External"/><Relationship Id="rId5" Type="http://schemas.openxmlformats.org/officeDocument/2006/relationships/footnotes" Target="footnotes.xml"/><Relationship Id="rId15" Type="http://schemas.openxmlformats.org/officeDocument/2006/relationships/hyperlink" Target="file:///\\server01\AFSharedDocs\Reception\Facilities%20rental%20information\Rental%20Agreements\valeriesfrenchkitchen.com" TargetMode="External"/><Relationship Id="rId23" Type="http://schemas.openxmlformats.org/officeDocument/2006/relationships/theme" Target="theme/theme1.xml"/><Relationship Id="rId10" Type="http://schemas.openxmlformats.org/officeDocument/2006/relationships/hyperlink" Target="https://www2.minneapolismn.gov/business-services/licenses-permits-inspections/special-events-temp-permits/special-events/food/" TargetMode="External"/><Relationship Id="rId19" Type="http://schemas.openxmlformats.org/officeDocument/2006/relationships/hyperlink" Target="https://www.4liquidmotion.com/" TargetMode="External"/><Relationship Id="rId4" Type="http://schemas.openxmlformats.org/officeDocument/2006/relationships/webSettings" Target="webSettings.xml"/><Relationship Id="rId9" Type="http://schemas.openxmlformats.org/officeDocument/2006/relationships/hyperlink" Target="https://www2.minneapolismn.gov/business-services/licenses-permits-inspections/special-events-temp-permits/special-events/food/food-sponsor-permit/" TargetMode="External"/><Relationship Id="rId14" Type="http://schemas.openxmlformats.org/officeDocument/2006/relationships/hyperlink" Target="https://breakingbreadfoods.com/cate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bonjour@afmsp.org</cp:lastModifiedBy>
  <cp:revision>3</cp:revision>
  <cp:lastPrinted>2022-07-05T18:54:00Z</cp:lastPrinted>
  <dcterms:created xsi:type="dcterms:W3CDTF">2023-08-28T19:10:00Z</dcterms:created>
  <dcterms:modified xsi:type="dcterms:W3CDTF">2023-08-28T19:11:00Z</dcterms:modified>
</cp:coreProperties>
</file>